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9670F" w14:textId="77777777" w:rsidR="00C57C5D" w:rsidRDefault="00447D36" w:rsidP="00C57C5D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  <w:r>
        <w:rPr>
          <w:rFonts w:ascii="Century Gothic" w:hAnsi="Century Gothic" w:cs="Tahoma"/>
          <w:b/>
          <w:color w:val="887634"/>
          <w:sz w:val="28"/>
          <w:szCs w:val="28"/>
        </w:rPr>
        <w:t xml:space="preserve">Lexxus Norton zahajuje prodej </w:t>
      </w:r>
      <w:r w:rsidR="00AE4C57" w:rsidRPr="00C57C5D">
        <w:rPr>
          <w:rFonts w:ascii="Century Gothic" w:hAnsi="Century Gothic" w:cs="Tahoma"/>
          <w:b/>
          <w:color w:val="887634"/>
          <w:sz w:val="28"/>
          <w:szCs w:val="28"/>
        </w:rPr>
        <w:t>pozemků u</w:t>
      </w:r>
      <w:r w:rsidRPr="00C57C5D">
        <w:rPr>
          <w:rFonts w:ascii="Century Gothic" w:hAnsi="Century Gothic" w:cs="Tahoma"/>
          <w:b/>
          <w:color w:val="887634"/>
          <w:sz w:val="28"/>
          <w:szCs w:val="28"/>
        </w:rPr>
        <w:t xml:space="preserve"> Průhonického parku</w:t>
      </w:r>
    </w:p>
    <w:p w14:paraId="2A6F675D" w14:textId="77777777" w:rsidR="00C57C5D" w:rsidRDefault="00C57C5D" w:rsidP="00C57C5D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</w:p>
    <w:p w14:paraId="3DCFCEEE" w14:textId="276EE5EE" w:rsidR="0046424A" w:rsidRPr="00C57C5D" w:rsidRDefault="00772443" w:rsidP="00C57C5D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  <w:r>
        <w:rPr>
          <w:rFonts w:ascii="Century Gothic" w:eastAsia="Times New Roman" w:hAnsi="Century Gothic" w:cs="Tahoma"/>
          <w:i/>
        </w:rPr>
        <w:t xml:space="preserve">Praha, </w:t>
      </w:r>
      <w:r w:rsidR="00AC4D97">
        <w:rPr>
          <w:rFonts w:ascii="Century Gothic" w:eastAsia="Times New Roman" w:hAnsi="Century Gothic" w:cs="Tahoma"/>
          <w:i/>
        </w:rPr>
        <w:t>24</w:t>
      </w:r>
      <w:r w:rsidR="001D0C45">
        <w:rPr>
          <w:rFonts w:ascii="Century Gothic" w:eastAsia="Times New Roman" w:hAnsi="Century Gothic" w:cs="Tahoma"/>
          <w:i/>
        </w:rPr>
        <w:t xml:space="preserve">. </w:t>
      </w:r>
      <w:r w:rsidR="000A6587">
        <w:rPr>
          <w:rFonts w:ascii="Century Gothic" w:eastAsia="Times New Roman" w:hAnsi="Century Gothic" w:cs="Tahoma"/>
          <w:i/>
        </w:rPr>
        <w:t>ledna</w:t>
      </w:r>
      <w:r w:rsidR="000E59C5">
        <w:rPr>
          <w:rFonts w:ascii="Century Gothic" w:eastAsia="Times New Roman" w:hAnsi="Century Gothic" w:cs="Tahoma"/>
          <w:i/>
        </w:rPr>
        <w:t xml:space="preserve"> </w:t>
      </w:r>
      <w:r w:rsidR="000A6587">
        <w:rPr>
          <w:rFonts w:ascii="Century Gothic" w:eastAsia="Times New Roman" w:hAnsi="Century Gothic" w:cs="Tahoma"/>
          <w:i/>
        </w:rPr>
        <w:t>2017</w:t>
      </w:r>
    </w:p>
    <w:p w14:paraId="41BC95F3" w14:textId="77777777" w:rsidR="00F6587D" w:rsidRDefault="00F6587D" w:rsidP="00F6564A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</w:rPr>
      </w:pPr>
    </w:p>
    <w:p w14:paraId="06AB2773" w14:textId="3054A3D3" w:rsidR="00A1632F" w:rsidRPr="00F6587D" w:rsidRDefault="00F6564A" w:rsidP="008F5F16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</w:rPr>
      </w:pPr>
      <w:r>
        <w:rPr>
          <w:rFonts w:ascii="Century Gothic" w:eastAsia="Times New Roman" w:hAnsi="Century Gothic" w:cs="Tahoma"/>
          <w:b/>
        </w:rPr>
        <w:t xml:space="preserve">Realitní kancelář Lexxus Norton rozšířila své portfolio </w:t>
      </w:r>
      <w:r w:rsidR="00C57C5D">
        <w:rPr>
          <w:rFonts w:ascii="Century Gothic" w:eastAsia="Times New Roman" w:hAnsi="Century Gothic" w:cs="Tahoma"/>
          <w:b/>
        </w:rPr>
        <w:t xml:space="preserve">prodávaných </w:t>
      </w:r>
      <w:r>
        <w:rPr>
          <w:rFonts w:ascii="Century Gothic" w:eastAsia="Times New Roman" w:hAnsi="Century Gothic" w:cs="Tahoma"/>
          <w:b/>
        </w:rPr>
        <w:t xml:space="preserve">nemovitostí o 26 </w:t>
      </w:r>
      <w:r w:rsidR="00F6587D">
        <w:rPr>
          <w:rFonts w:ascii="Century Gothic" w:eastAsia="Times New Roman" w:hAnsi="Century Gothic" w:cs="Tahoma"/>
          <w:b/>
        </w:rPr>
        <w:t xml:space="preserve">pozemků </w:t>
      </w:r>
      <w:r>
        <w:rPr>
          <w:rFonts w:ascii="Century Gothic" w:eastAsia="Times New Roman" w:hAnsi="Century Gothic" w:cs="Tahoma"/>
          <w:b/>
        </w:rPr>
        <w:t>v</w:t>
      </w:r>
      <w:r w:rsidR="00C57C5D">
        <w:rPr>
          <w:rFonts w:ascii="Century Gothic" w:eastAsia="Times New Roman" w:hAnsi="Century Gothic" w:cs="Tahoma"/>
          <w:b/>
        </w:rPr>
        <w:t>e velmi</w:t>
      </w:r>
      <w:r>
        <w:rPr>
          <w:rFonts w:ascii="Century Gothic" w:eastAsia="Times New Roman" w:hAnsi="Century Gothic" w:cs="Tahoma"/>
          <w:b/>
        </w:rPr>
        <w:t> atraktivní lokalitě</w:t>
      </w:r>
      <w:r w:rsidR="00761EB3">
        <w:rPr>
          <w:rFonts w:ascii="Century Gothic" w:eastAsia="Times New Roman" w:hAnsi="Century Gothic" w:cs="Tahoma"/>
          <w:b/>
        </w:rPr>
        <w:t xml:space="preserve"> </w:t>
      </w:r>
      <w:r w:rsidR="00C57C5D">
        <w:rPr>
          <w:rFonts w:ascii="Century Gothic" w:eastAsia="Times New Roman" w:hAnsi="Century Gothic" w:cs="Tahoma"/>
          <w:b/>
        </w:rPr>
        <w:t xml:space="preserve">těsně sousedící s Průhonickým </w:t>
      </w:r>
      <w:r w:rsidR="00F6587D">
        <w:rPr>
          <w:rFonts w:ascii="Century Gothic" w:eastAsia="Times New Roman" w:hAnsi="Century Gothic" w:cs="Tahoma"/>
          <w:b/>
        </w:rPr>
        <w:t>park</w:t>
      </w:r>
      <w:r w:rsidR="00C57C5D">
        <w:rPr>
          <w:rFonts w:ascii="Century Gothic" w:eastAsia="Times New Roman" w:hAnsi="Century Gothic" w:cs="Tahoma"/>
          <w:b/>
        </w:rPr>
        <w:t>em</w:t>
      </w:r>
      <w:r>
        <w:rPr>
          <w:rFonts w:ascii="Century Gothic" w:eastAsia="Times New Roman" w:hAnsi="Century Gothic" w:cs="Tahoma"/>
          <w:b/>
        </w:rPr>
        <w:t>.</w:t>
      </w:r>
      <w:r w:rsidR="00F6587D">
        <w:rPr>
          <w:rFonts w:ascii="Century Gothic" w:eastAsia="Times New Roman" w:hAnsi="Century Gothic" w:cs="Tahoma"/>
          <w:b/>
        </w:rPr>
        <w:t xml:space="preserve"> </w:t>
      </w:r>
      <w:r w:rsidR="00761EB3">
        <w:rPr>
          <w:rFonts w:ascii="Century Gothic" w:eastAsia="Times New Roman" w:hAnsi="Century Gothic" w:cs="Tahoma"/>
          <w:b/>
        </w:rPr>
        <w:t>Jednotlivé parcely o velikosti až 3</w:t>
      </w:r>
      <w:r w:rsidR="00105C1A">
        <w:rPr>
          <w:rFonts w:ascii="Century Gothic" w:eastAsia="Times New Roman" w:hAnsi="Century Gothic" w:cs="Tahoma"/>
          <w:b/>
        </w:rPr>
        <w:t xml:space="preserve"> </w:t>
      </w:r>
      <w:r w:rsidR="00761EB3">
        <w:rPr>
          <w:rFonts w:ascii="Century Gothic" w:eastAsia="Times New Roman" w:hAnsi="Century Gothic" w:cs="Tahoma"/>
          <w:b/>
        </w:rPr>
        <w:t>617 m</w:t>
      </w:r>
      <w:r w:rsidR="00761EB3" w:rsidRPr="00F6587D">
        <w:rPr>
          <w:rFonts w:ascii="Century Gothic" w:eastAsia="Times New Roman" w:hAnsi="Century Gothic" w:cs="Tahoma"/>
          <w:b/>
          <w:vertAlign w:val="superscript"/>
        </w:rPr>
        <w:t>2</w:t>
      </w:r>
      <w:r w:rsidR="00761EB3">
        <w:rPr>
          <w:rFonts w:ascii="Century Gothic" w:eastAsia="Times New Roman" w:hAnsi="Century Gothic" w:cs="Tahoma"/>
          <w:b/>
        </w:rPr>
        <w:t xml:space="preserve"> jsou zcela zasíťované a napojené na komunikaci i veřejné osvětlení. Lze na nich pr</w:t>
      </w:r>
      <w:r w:rsidR="00D04CC2">
        <w:rPr>
          <w:rFonts w:ascii="Century Gothic" w:eastAsia="Times New Roman" w:hAnsi="Century Gothic" w:cs="Tahoma"/>
          <w:b/>
        </w:rPr>
        <w:t xml:space="preserve">oto neprodleně zahájit stavbu rodinného domu podle individuálních představ každého zájemce. </w:t>
      </w:r>
      <w:r w:rsidR="008F5F16">
        <w:rPr>
          <w:rFonts w:ascii="Century Gothic" w:eastAsia="Times New Roman" w:hAnsi="Century Gothic" w:cs="Tahoma"/>
          <w:b/>
        </w:rPr>
        <w:t xml:space="preserve">Zároveň však mohou díky </w:t>
      </w:r>
      <w:r w:rsidR="00506567">
        <w:rPr>
          <w:rFonts w:ascii="Century Gothic" w:eastAsia="Times New Roman" w:hAnsi="Century Gothic" w:cs="Tahoma"/>
          <w:b/>
        </w:rPr>
        <w:t xml:space="preserve">rostoucím cenám nemovitostí </w:t>
      </w:r>
      <w:r w:rsidR="00A01882">
        <w:rPr>
          <w:rFonts w:ascii="Century Gothic" w:eastAsia="Times New Roman" w:hAnsi="Century Gothic" w:cs="Tahoma"/>
          <w:b/>
        </w:rPr>
        <w:t>představovat v</w:t>
      </w:r>
      <w:r w:rsidR="00506567">
        <w:rPr>
          <w:rFonts w:ascii="Century Gothic" w:eastAsia="Times New Roman" w:hAnsi="Century Gothic" w:cs="Tahoma"/>
          <w:b/>
        </w:rPr>
        <w:t>ýbornou</w:t>
      </w:r>
      <w:r w:rsidR="00F6587D">
        <w:rPr>
          <w:rFonts w:ascii="Century Gothic" w:eastAsia="Times New Roman" w:hAnsi="Century Gothic" w:cs="Tahoma"/>
          <w:b/>
        </w:rPr>
        <w:t xml:space="preserve"> investiční příležitost. </w:t>
      </w:r>
    </w:p>
    <w:p w14:paraId="18338E53" w14:textId="77777777" w:rsidR="000A6587" w:rsidRDefault="000A6587" w:rsidP="00F6564A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</w:rPr>
      </w:pPr>
    </w:p>
    <w:p w14:paraId="5D8B154A" w14:textId="587CB0E6" w:rsidR="002D5C20" w:rsidRPr="00930EDE" w:rsidRDefault="00F6413F" w:rsidP="00C54641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3BB8154" wp14:editId="2B07AC20">
            <wp:simplePos x="0" y="0"/>
            <wp:positionH relativeFrom="margin">
              <wp:posOffset>-347980</wp:posOffset>
            </wp:positionH>
            <wp:positionV relativeFrom="margin">
              <wp:posOffset>2539365</wp:posOffset>
            </wp:positionV>
            <wp:extent cx="2454910" cy="1647825"/>
            <wp:effectExtent l="0" t="0" r="2540" b="9525"/>
            <wp:wrapSquare wrapText="bothSides"/>
            <wp:docPr id="2" name="fancybox-img" descr="OPT pruhonice zakres (180x17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OPT pruhonice zakres (180x174)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5491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EDE" w:rsidRPr="00930EDE">
        <w:rPr>
          <w:rFonts w:ascii="Century Gothic" w:eastAsia="Times New Roman" w:hAnsi="Century Gothic" w:cs="Tahoma"/>
        </w:rPr>
        <w:t>Pozemky o rozloze 1</w:t>
      </w:r>
      <w:r w:rsidR="00EF5AD4">
        <w:rPr>
          <w:rFonts w:ascii="Century Gothic" w:eastAsia="Times New Roman" w:hAnsi="Century Gothic" w:cs="Tahoma"/>
        </w:rPr>
        <w:t xml:space="preserve"> </w:t>
      </w:r>
      <w:r w:rsidR="00930EDE" w:rsidRPr="00930EDE">
        <w:rPr>
          <w:rFonts w:ascii="Century Gothic" w:eastAsia="Times New Roman" w:hAnsi="Century Gothic" w:cs="Tahoma"/>
        </w:rPr>
        <w:t>650 až 3</w:t>
      </w:r>
      <w:r w:rsidR="00EF5AD4">
        <w:rPr>
          <w:rFonts w:ascii="Century Gothic" w:eastAsia="Times New Roman" w:hAnsi="Century Gothic" w:cs="Tahoma"/>
        </w:rPr>
        <w:t xml:space="preserve"> </w:t>
      </w:r>
      <w:r w:rsidR="00930EDE" w:rsidRPr="00930EDE">
        <w:rPr>
          <w:rFonts w:ascii="Century Gothic" w:eastAsia="Times New Roman" w:hAnsi="Century Gothic" w:cs="Tahoma"/>
        </w:rPr>
        <w:t>617 m</w:t>
      </w:r>
      <w:r w:rsidR="00930EDE" w:rsidRPr="00930EDE">
        <w:rPr>
          <w:rFonts w:ascii="Century Gothic" w:eastAsia="Times New Roman" w:hAnsi="Century Gothic" w:cs="Tahoma"/>
          <w:vertAlign w:val="superscript"/>
        </w:rPr>
        <w:t>2</w:t>
      </w:r>
      <w:r w:rsidR="00930EDE">
        <w:rPr>
          <w:rFonts w:ascii="Century Gothic" w:eastAsia="Times New Roman" w:hAnsi="Century Gothic" w:cs="Tahoma"/>
          <w:vertAlign w:val="superscript"/>
        </w:rPr>
        <w:t xml:space="preserve"> </w:t>
      </w:r>
      <w:r w:rsidR="00930EDE">
        <w:rPr>
          <w:rFonts w:ascii="Century Gothic" w:eastAsia="Times New Roman" w:hAnsi="Century Gothic" w:cs="Tahoma"/>
        </w:rPr>
        <w:t>se rozkládají na jižní straně Průhonického parku, kde volně nav</w:t>
      </w:r>
      <w:r>
        <w:rPr>
          <w:rFonts w:ascii="Century Gothic" w:eastAsia="Times New Roman" w:hAnsi="Century Gothic" w:cs="Tahoma"/>
        </w:rPr>
        <w:t>azují na stávající zástavbu</w:t>
      </w:r>
      <w:r w:rsidR="00C57C5D">
        <w:rPr>
          <w:rFonts w:ascii="Century Gothic" w:eastAsia="Times New Roman" w:hAnsi="Century Gothic" w:cs="Tahoma"/>
        </w:rPr>
        <w:t xml:space="preserve"> rodinných domů</w:t>
      </w:r>
      <w:r>
        <w:rPr>
          <w:rFonts w:ascii="Century Gothic" w:eastAsia="Times New Roman" w:hAnsi="Century Gothic" w:cs="Tahoma"/>
        </w:rPr>
        <w:t>. S</w:t>
      </w:r>
      <w:r w:rsidR="00932277">
        <w:rPr>
          <w:rFonts w:ascii="Century Gothic" w:eastAsia="Times New Roman" w:hAnsi="Century Gothic" w:cs="Tahoma"/>
        </w:rPr>
        <w:t>oučástí projektu je napojení na </w:t>
      </w:r>
      <w:r w:rsidR="00105C1A">
        <w:rPr>
          <w:rFonts w:ascii="Century Gothic" w:eastAsia="Times New Roman" w:hAnsi="Century Gothic" w:cs="Tahoma"/>
        </w:rPr>
        <w:t>kompletní</w:t>
      </w:r>
      <w:r w:rsidR="00EF339F">
        <w:rPr>
          <w:rFonts w:ascii="Century Gothic" w:eastAsia="Times New Roman" w:hAnsi="Century Gothic" w:cs="Tahoma"/>
        </w:rPr>
        <w:t xml:space="preserve"> inženýrské sítě, komunikaci a </w:t>
      </w:r>
      <w:r>
        <w:rPr>
          <w:rFonts w:ascii="Century Gothic" w:eastAsia="Times New Roman" w:hAnsi="Century Gothic" w:cs="Tahoma"/>
        </w:rPr>
        <w:t xml:space="preserve">veřejné osvětlení. </w:t>
      </w:r>
      <w:r w:rsidR="00C54641">
        <w:rPr>
          <w:rFonts w:ascii="Century Gothic" w:eastAsia="Times New Roman" w:hAnsi="Century Gothic" w:cs="Tahoma"/>
        </w:rPr>
        <w:t xml:space="preserve">Budoucí stavebníci </w:t>
      </w:r>
      <w:r w:rsidR="00FF11E2">
        <w:rPr>
          <w:rFonts w:ascii="Century Gothic" w:eastAsia="Times New Roman" w:hAnsi="Century Gothic" w:cs="Tahoma"/>
        </w:rPr>
        <w:t xml:space="preserve">proto </w:t>
      </w:r>
      <w:r w:rsidR="00C54641">
        <w:rPr>
          <w:rFonts w:ascii="Century Gothic" w:eastAsia="Times New Roman" w:hAnsi="Century Gothic" w:cs="Tahoma"/>
        </w:rPr>
        <w:t xml:space="preserve">budou mít okamžitý přístup k vodě, kanalizaci, plynu i elektřině. </w:t>
      </w:r>
      <w:r w:rsidRPr="00AD713F">
        <w:rPr>
          <w:rFonts w:ascii="Century Gothic" w:eastAsia="Times New Roman" w:hAnsi="Century Gothic" w:cs="Tahoma"/>
        </w:rPr>
        <w:t>„</w:t>
      </w:r>
      <w:r w:rsidR="00C54641">
        <w:rPr>
          <w:rFonts w:ascii="Century Gothic" w:eastAsia="Times New Roman" w:hAnsi="Century Gothic" w:cs="Tahoma"/>
        </w:rPr>
        <w:t xml:space="preserve">Pro pražský trh s nemovitostmi je navíc charakteristický prudký růst cen a nedostatek nových projektů. </w:t>
      </w:r>
      <w:r w:rsidR="00F545FA">
        <w:rPr>
          <w:rFonts w:ascii="Century Gothic" w:eastAsia="Times New Roman" w:hAnsi="Century Gothic" w:cs="Tahoma"/>
        </w:rPr>
        <w:t>J</w:t>
      </w:r>
      <w:r w:rsidR="00105C1A">
        <w:rPr>
          <w:rFonts w:ascii="Century Gothic" w:eastAsia="Times New Roman" w:hAnsi="Century Gothic" w:cs="Tahoma"/>
        </w:rPr>
        <w:t>ednotlivé</w:t>
      </w:r>
      <w:r w:rsidR="00EF5AD4">
        <w:rPr>
          <w:rFonts w:ascii="Century Gothic" w:eastAsia="Times New Roman" w:hAnsi="Century Gothic" w:cs="Tahoma"/>
        </w:rPr>
        <w:t xml:space="preserve"> p</w:t>
      </w:r>
      <w:r w:rsidR="00EA3488">
        <w:rPr>
          <w:rFonts w:ascii="Century Gothic" w:eastAsia="Times New Roman" w:hAnsi="Century Gothic" w:cs="Tahoma"/>
        </w:rPr>
        <w:t>oz</w:t>
      </w:r>
      <w:r w:rsidR="00AE4C57">
        <w:rPr>
          <w:rFonts w:ascii="Century Gothic" w:eastAsia="Times New Roman" w:hAnsi="Century Gothic" w:cs="Tahoma"/>
        </w:rPr>
        <w:t>emky jsou</w:t>
      </w:r>
      <w:r w:rsidR="00C54641">
        <w:rPr>
          <w:rFonts w:ascii="Century Gothic" w:eastAsia="Times New Roman" w:hAnsi="Century Gothic" w:cs="Tahoma"/>
        </w:rPr>
        <w:t xml:space="preserve"> proto</w:t>
      </w:r>
      <w:r w:rsidR="00AE4C57">
        <w:rPr>
          <w:rFonts w:ascii="Century Gothic" w:eastAsia="Times New Roman" w:hAnsi="Century Gothic" w:cs="Tahoma"/>
        </w:rPr>
        <w:t xml:space="preserve"> </w:t>
      </w:r>
      <w:r w:rsidR="00932277">
        <w:rPr>
          <w:rFonts w:ascii="Century Gothic" w:eastAsia="Times New Roman" w:hAnsi="Century Gothic" w:cs="Tahoma"/>
        </w:rPr>
        <w:t>vhodné nejen pro </w:t>
      </w:r>
      <w:r w:rsidR="00EA3488">
        <w:rPr>
          <w:rFonts w:ascii="Century Gothic" w:eastAsia="Times New Roman" w:hAnsi="Century Gothic" w:cs="Tahoma"/>
        </w:rPr>
        <w:t>individuální výstavbu, ale také jako výhodná inves</w:t>
      </w:r>
      <w:r w:rsidR="00F545FA">
        <w:rPr>
          <w:rFonts w:ascii="Century Gothic" w:eastAsia="Times New Roman" w:hAnsi="Century Gothic" w:cs="Tahoma"/>
        </w:rPr>
        <w:t xml:space="preserve">tice. </w:t>
      </w:r>
      <w:r w:rsidR="00C54641">
        <w:rPr>
          <w:rFonts w:ascii="Century Gothic" w:eastAsia="Times New Roman" w:hAnsi="Century Gothic" w:cs="Tahoma"/>
        </w:rPr>
        <w:t>E</w:t>
      </w:r>
      <w:r w:rsidR="00672A55">
        <w:rPr>
          <w:rFonts w:ascii="Century Gothic" w:eastAsia="Times New Roman" w:hAnsi="Century Gothic" w:cs="Tahoma"/>
        </w:rPr>
        <w:t>xistuje</w:t>
      </w:r>
      <w:r w:rsidR="00C54641">
        <w:rPr>
          <w:rFonts w:ascii="Century Gothic" w:eastAsia="Times New Roman" w:hAnsi="Century Gothic" w:cs="Tahoma"/>
        </w:rPr>
        <w:t xml:space="preserve"> totiž</w:t>
      </w:r>
      <w:r w:rsidR="00672A55">
        <w:rPr>
          <w:rFonts w:ascii="Century Gothic" w:eastAsia="Times New Roman" w:hAnsi="Century Gothic" w:cs="Tahoma"/>
        </w:rPr>
        <w:t xml:space="preserve"> </w:t>
      </w:r>
      <w:r w:rsidR="00EA3488">
        <w:rPr>
          <w:rFonts w:ascii="Century Gothic" w:eastAsia="Times New Roman" w:hAnsi="Century Gothic" w:cs="Tahoma"/>
        </w:rPr>
        <w:t>velká pravděpodobnost, že se</w:t>
      </w:r>
      <w:r w:rsidR="00AE4C57">
        <w:rPr>
          <w:rFonts w:ascii="Century Gothic" w:eastAsia="Times New Roman" w:hAnsi="Century Gothic" w:cs="Tahoma"/>
        </w:rPr>
        <w:t xml:space="preserve"> majitelé parcel dočkají v</w:t>
      </w:r>
      <w:r w:rsidR="00EA3488">
        <w:rPr>
          <w:rFonts w:ascii="Century Gothic" w:eastAsia="Times New Roman" w:hAnsi="Century Gothic" w:cs="Tahoma"/>
        </w:rPr>
        <w:t xml:space="preserve"> dohledné </w:t>
      </w:r>
      <w:r w:rsidR="00AE4C57">
        <w:rPr>
          <w:rFonts w:ascii="Century Gothic" w:eastAsia="Times New Roman" w:hAnsi="Century Gothic" w:cs="Tahoma"/>
        </w:rPr>
        <w:t xml:space="preserve">době </w:t>
      </w:r>
      <w:r w:rsidR="00932277">
        <w:rPr>
          <w:rFonts w:ascii="Century Gothic" w:eastAsia="Times New Roman" w:hAnsi="Century Gothic" w:cs="Tahoma"/>
        </w:rPr>
        <w:t>podstatného zhodnocení peněz,</w:t>
      </w:r>
      <w:r w:rsidR="00AE4C57">
        <w:rPr>
          <w:rFonts w:ascii="Century Gothic" w:eastAsia="Times New Roman" w:hAnsi="Century Gothic" w:cs="Tahoma"/>
        </w:rPr>
        <w:t xml:space="preserve"> které do jejich nákupu vložili</w:t>
      </w:r>
      <w:r w:rsidR="00C57C5D">
        <w:rPr>
          <w:rFonts w:ascii="Century Gothic" w:eastAsia="Times New Roman" w:hAnsi="Century Gothic" w:cs="Tahoma"/>
        </w:rPr>
        <w:t xml:space="preserve">. Zejména </w:t>
      </w:r>
      <w:r w:rsidR="00B444BC">
        <w:rPr>
          <w:rFonts w:ascii="Century Gothic" w:eastAsia="Times New Roman" w:hAnsi="Century Gothic" w:cs="Tahoma"/>
        </w:rPr>
        <w:t>díky exkluzivnosti této lokality</w:t>
      </w:r>
      <w:r w:rsidRPr="00AD713F">
        <w:rPr>
          <w:rFonts w:ascii="Century Gothic" w:eastAsia="Times New Roman" w:hAnsi="Century Gothic" w:cs="Arial"/>
        </w:rPr>
        <w:t>,“</w:t>
      </w:r>
      <w:r>
        <w:rPr>
          <w:rFonts w:ascii="Century Gothic" w:eastAsia="Times New Roman" w:hAnsi="Century Gothic" w:cs="Tahoma"/>
        </w:rPr>
        <w:t xml:space="preserve"> </w:t>
      </w:r>
      <w:r w:rsidR="00932277">
        <w:rPr>
          <w:rFonts w:ascii="Century Gothic" w:eastAsia="Times New Roman" w:hAnsi="Century Gothic" w:cs="Tahoma"/>
        </w:rPr>
        <w:t>konstatuje</w:t>
      </w:r>
      <w:r>
        <w:rPr>
          <w:rFonts w:ascii="Century Gothic" w:eastAsia="Times New Roman" w:hAnsi="Century Gothic" w:cs="Tahoma"/>
        </w:rPr>
        <w:t xml:space="preserve"> </w:t>
      </w:r>
      <w:r>
        <w:rPr>
          <w:rFonts w:ascii="Century Gothic" w:eastAsia="Times New Roman" w:hAnsi="Century Gothic" w:cs="Arial"/>
          <w:b/>
        </w:rPr>
        <w:t>Jakub Sedmihradský</w:t>
      </w:r>
      <w:r>
        <w:rPr>
          <w:rFonts w:ascii="Century Gothic" w:eastAsia="Times New Roman" w:hAnsi="Century Gothic" w:cs="Arial"/>
        </w:rPr>
        <w:t xml:space="preserve">, </w:t>
      </w:r>
      <w:r w:rsidR="00795D4D" w:rsidRPr="00795D4D">
        <w:rPr>
          <w:rFonts w:ascii="Century Gothic" w:eastAsia="Times New Roman" w:hAnsi="Century Gothic" w:cs="Arial"/>
        </w:rPr>
        <w:t xml:space="preserve">Business Development </w:t>
      </w:r>
      <w:proofErr w:type="spellStart"/>
      <w:r w:rsidR="00795D4D" w:rsidRPr="00795D4D">
        <w:rPr>
          <w:rFonts w:ascii="Century Gothic" w:eastAsia="Times New Roman" w:hAnsi="Century Gothic" w:cs="Arial"/>
        </w:rPr>
        <w:t>Director</w:t>
      </w:r>
      <w:proofErr w:type="spellEnd"/>
      <w:r>
        <w:rPr>
          <w:rFonts w:ascii="Century Gothic" w:eastAsia="Times New Roman" w:hAnsi="Century Gothic" w:cs="Arial"/>
        </w:rPr>
        <w:t xml:space="preserve"> </w:t>
      </w:r>
      <w:proofErr w:type="spellStart"/>
      <w:r>
        <w:rPr>
          <w:rFonts w:ascii="Century Gothic" w:eastAsia="Times New Roman" w:hAnsi="Century Gothic" w:cs="Arial"/>
        </w:rPr>
        <w:t>Lexxus</w:t>
      </w:r>
      <w:proofErr w:type="spellEnd"/>
      <w:r>
        <w:rPr>
          <w:rFonts w:ascii="Century Gothic" w:eastAsia="Times New Roman" w:hAnsi="Century Gothic" w:cs="Arial"/>
        </w:rPr>
        <w:t xml:space="preserve"> </w:t>
      </w:r>
      <w:proofErr w:type="spellStart"/>
      <w:r>
        <w:rPr>
          <w:rFonts w:ascii="Century Gothic" w:eastAsia="Times New Roman" w:hAnsi="Century Gothic" w:cs="Arial"/>
        </w:rPr>
        <w:t>Norton</w:t>
      </w:r>
      <w:proofErr w:type="spellEnd"/>
      <w:r>
        <w:rPr>
          <w:rFonts w:ascii="Century Gothic" w:eastAsia="Times New Roman" w:hAnsi="Century Gothic" w:cs="Arial"/>
        </w:rPr>
        <w:t>.</w:t>
      </w:r>
    </w:p>
    <w:p w14:paraId="31981DDA" w14:textId="0FD9D067" w:rsidR="000A6587" w:rsidRDefault="000A6587" w:rsidP="00932277">
      <w:pPr>
        <w:spacing w:after="0" w:line="320" w:lineRule="atLeast"/>
        <w:ind w:right="-709"/>
        <w:jc w:val="both"/>
        <w:rPr>
          <w:rFonts w:ascii="Century Gothic" w:eastAsia="Times New Roman" w:hAnsi="Century Gothic" w:cs="Tahoma"/>
          <w:b/>
          <w:sz w:val="16"/>
        </w:rPr>
      </w:pPr>
    </w:p>
    <w:p w14:paraId="3C520EEC" w14:textId="44722A40" w:rsidR="00997A6E" w:rsidRDefault="00105C1A" w:rsidP="00997A6E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 w:rsidRPr="00932277">
        <w:rPr>
          <w:rFonts w:ascii="Century Gothic" w:eastAsia="Times New Roman" w:hAnsi="Century Gothic" w:cs="Tahoma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70277C3" wp14:editId="2D1AFC1B">
            <wp:simplePos x="0" y="0"/>
            <wp:positionH relativeFrom="margin">
              <wp:posOffset>3855720</wp:posOffset>
            </wp:positionH>
            <wp:positionV relativeFrom="margin">
              <wp:posOffset>5568950</wp:posOffset>
            </wp:positionV>
            <wp:extent cx="2291715" cy="1548765"/>
            <wp:effectExtent l="0" t="0" r="0" b="0"/>
            <wp:wrapSquare wrapText="bothSides"/>
            <wp:docPr id="1" name="Obrázek 1" descr="12-Pruhonicky zamek (180x17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12-Pruhonicky zamek (180x17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39F" w:rsidRPr="00EF339F">
        <w:rPr>
          <w:rFonts w:ascii="Century Gothic" w:eastAsia="Times New Roman" w:hAnsi="Century Gothic" w:cs="Tahoma"/>
        </w:rPr>
        <w:t>Průhonický</w:t>
      </w:r>
      <w:r w:rsidR="00EF339F">
        <w:rPr>
          <w:rFonts w:ascii="Century Gothic" w:eastAsia="Times New Roman" w:hAnsi="Century Gothic" w:cs="Tahoma"/>
        </w:rPr>
        <w:t xml:space="preserve"> park je </w:t>
      </w:r>
      <w:r>
        <w:rPr>
          <w:rFonts w:ascii="Century Gothic" w:eastAsia="Times New Roman" w:hAnsi="Century Gothic" w:cs="Tahoma"/>
        </w:rPr>
        <w:t xml:space="preserve">známá </w:t>
      </w:r>
      <w:r w:rsidR="00EF339F">
        <w:rPr>
          <w:rFonts w:ascii="Century Gothic" w:eastAsia="Times New Roman" w:hAnsi="Century Gothic" w:cs="Tahoma"/>
        </w:rPr>
        <w:t>přírodní památka</w:t>
      </w:r>
      <w:r w:rsidR="005F3558">
        <w:rPr>
          <w:rFonts w:ascii="Century Gothic" w:eastAsia="Times New Roman" w:hAnsi="Century Gothic" w:cs="Tahoma"/>
        </w:rPr>
        <w:t>, kterou protéká potok Botič se třemi rybníky. Právě vodní plochy, skalnaté partie, louky a vzrostlá zeleň tvoří mís</w:t>
      </w:r>
      <w:r w:rsidR="001A01C0">
        <w:rPr>
          <w:rFonts w:ascii="Century Gothic" w:eastAsia="Times New Roman" w:hAnsi="Century Gothic" w:cs="Tahoma"/>
        </w:rPr>
        <w:t>tní nezapomenutelnou atmo</w:t>
      </w:r>
      <w:r w:rsidR="000D7EB8">
        <w:rPr>
          <w:rFonts w:ascii="Century Gothic" w:eastAsia="Times New Roman" w:hAnsi="Century Gothic" w:cs="Tahoma"/>
        </w:rPr>
        <w:t>sféru přímo stvořenou pro </w:t>
      </w:r>
      <w:r w:rsidR="00D541BF">
        <w:rPr>
          <w:rFonts w:ascii="Century Gothic" w:eastAsia="Times New Roman" w:hAnsi="Century Gothic" w:cs="Tahoma"/>
        </w:rPr>
        <w:t xml:space="preserve">načerpání síly po náročném pracovním dni. Kromě mnoha odpočinkových zón však zdejší lokalita disponuje rovněž dobrou dopravní dostupností a občanskou vybaveností. 5 km od projektu </w:t>
      </w:r>
      <w:r w:rsidR="000D7EB8">
        <w:rPr>
          <w:rFonts w:ascii="Century Gothic" w:eastAsia="Times New Roman" w:hAnsi="Century Gothic" w:cs="Tahoma"/>
        </w:rPr>
        <w:t>je vybudovaný nájezd na </w:t>
      </w:r>
      <w:r w:rsidR="00D541BF">
        <w:rPr>
          <w:rFonts w:ascii="Century Gothic" w:eastAsia="Times New Roman" w:hAnsi="Century Gothic" w:cs="Tahoma"/>
        </w:rPr>
        <w:t>dálnici</w:t>
      </w:r>
      <w:r w:rsidR="00BB3095">
        <w:rPr>
          <w:rFonts w:ascii="Century Gothic" w:eastAsia="Times New Roman" w:hAnsi="Century Gothic" w:cs="Tahoma"/>
        </w:rPr>
        <w:t xml:space="preserve"> D1, po níž se dá </w:t>
      </w:r>
      <w:r w:rsidR="00997A6E">
        <w:rPr>
          <w:rFonts w:ascii="Century Gothic" w:eastAsia="Times New Roman" w:hAnsi="Century Gothic" w:cs="Tahoma"/>
        </w:rPr>
        <w:t>doj</w:t>
      </w:r>
      <w:r w:rsidR="007E08EF">
        <w:rPr>
          <w:rFonts w:ascii="Century Gothic" w:eastAsia="Times New Roman" w:hAnsi="Century Gothic" w:cs="Tahoma"/>
        </w:rPr>
        <w:t>et do Prahy za cca 15 minut. Za </w:t>
      </w:r>
      <w:r w:rsidR="00997A6E">
        <w:rPr>
          <w:rFonts w:ascii="Century Gothic" w:eastAsia="Times New Roman" w:hAnsi="Century Gothic" w:cs="Tahoma"/>
        </w:rPr>
        <w:t>obdobný čas je</w:t>
      </w:r>
      <w:r w:rsidR="007E08EF">
        <w:rPr>
          <w:rFonts w:ascii="Century Gothic" w:eastAsia="Times New Roman" w:hAnsi="Century Gothic" w:cs="Tahoma"/>
        </w:rPr>
        <w:t xml:space="preserve"> autobusem</w:t>
      </w:r>
      <w:r w:rsidR="00997A6E">
        <w:rPr>
          <w:rFonts w:ascii="Century Gothic" w:eastAsia="Times New Roman" w:hAnsi="Century Gothic" w:cs="Tahoma"/>
        </w:rPr>
        <w:t xml:space="preserve"> dostupná s</w:t>
      </w:r>
      <w:r w:rsidR="002E36EF">
        <w:rPr>
          <w:rFonts w:ascii="Century Gothic" w:eastAsia="Times New Roman" w:hAnsi="Century Gothic" w:cs="Tahoma"/>
        </w:rPr>
        <w:t xml:space="preserve">tanice metra C – Opatov. </w:t>
      </w:r>
      <w:r w:rsidR="00BB3095">
        <w:rPr>
          <w:rFonts w:ascii="Century Gothic" w:eastAsia="Times New Roman" w:hAnsi="Century Gothic" w:cs="Tahoma"/>
        </w:rPr>
        <w:t>V</w:t>
      </w:r>
      <w:r w:rsidR="00C57C5D">
        <w:rPr>
          <w:rFonts w:ascii="Century Gothic" w:eastAsia="Times New Roman" w:hAnsi="Century Gothic" w:cs="Tahoma"/>
        </w:rPr>
        <w:t xml:space="preserve"> Průhonicích </w:t>
      </w:r>
      <w:r>
        <w:rPr>
          <w:rFonts w:ascii="Century Gothic" w:eastAsia="Times New Roman" w:hAnsi="Century Gothic" w:cs="Tahoma"/>
        </w:rPr>
        <w:t>a </w:t>
      </w:r>
      <w:r w:rsidR="00BB3095">
        <w:rPr>
          <w:rFonts w:ascii="Century Gothic" w:eastAsia="Times New Roman" w:hAnsi="Century Gothic" w:cs="Tahoma"/>
        </w:rPr>
        <w:t>přilehlých obcích</w:t>
      </w:r>
      <w:r w:rsidR="00EA3488">
        <w:rPr>
          <w:rFonts w:ascii="Century Gothic" w:eastAsia="Times New Roman" w:hAnsi="Century Gothic" w:cs="Tahoma"/>
        </w:rPr>
        <w:t xml:space="preserve"> </w:t>
      </w:r>
      <w:r w:rsidR="000D7EB8">
        <w:rPr>
          <w:rFonts w:ascii="Century Gothic" w:eastAsia="Times New Roman" w:hAnsi="Century Gothic" w:cs="Tahoma"/>
        </w:rPr>
        <w:t>se nachází</w:t>
      </w:r>
      <w:r w:rsidR="00EA3488">
        <w:rPr>
          <w:rFonts w:ascii="Century Gothic" w:eastAsia="Times New Roman" w:hAnsi="Century Gothic" w:cs="Tahoma"/>
        </w:rPr>
        <w:t xml:space="preserve"> </w:t>
      </w:r>
      <w:r w:rsidR="00790F26">
        <w:rPr>
          <w:rFonts w:ascii="Century Gothic" w:eastAsia="Times New Roman" w:hAnsi="Century Gothic" w:cs="Tahoma"/>
        </w:rPr>
        <w:t xml:space="preserve">zámek, několik </w:t>
      </w:r>
      <w:r w:rsidR="00EA3488">
        <w:rPr>
          <w:rFonts w:ascii="Century Gothic" w:eastAsia="Times New Roman" w:hAnsi="Century Gothic" w:cs="Tahoma"/>
        </w:rPr>
        <w:t>restaurací</w:t>
      </w:r>
      <w:r w:rsidR="00F545FA">
        <w:rPr>
          <w:rFonts w:ascii="Century Gothic" w:eastAsia="Times New Roman" w:hAnsi="Century Gothic" w:cs="Tahoma"/>
        </w:rPr>
        <w:t xml:space="preserve"> a škol</w:t>
      </w:r>
      <w:r w:rsidR="00BB3095">
        <w:rPr>
          <w:rFonts w:ascii="Century Gothic" w:eastAsia="Times New Roman" w:hAnsi="Century Gothic" w:cs="Tahoma"/>
        </w:rPr>
        <w:t xml:space="preserve"> nebo sportovně relaxační centrum OPT Play</w:t>
      </w:r>
      <w:r w:rsidR="00EC34D7">
        <w:rPr>
          <w:rFonts w:ascii="Century Gothic" w:eastAsia="Times New Roman" w:hAnsi="Century Gothic" w:cs="Tahoma"/>
        </w:rPr>
        <w:t xml:space="preserve"> s </w:t>
      </w:r>
      <w:r w:rsidR="00BB3095">
        <w:rPr>
          <w:rFonts w:ascii="Century Gothic" w:eastAsia="Times New Roman" w:hAnsi="Century Gothic" w:cs="Tahoma"/>
        </w:rPr>
        <w:t>hřiště</w:t>
      </w:r>
      <w:r w:rsidR="00EC34D7">
        <w:rPr>
          <w:rFonts w:ascii="Century Gothic" w:eastAsia="Times New Roman" w:hAnsi="Century Gothic" w:cs="Tahoma"/>
        </w:rPr>
        <w:t>m</w:t>
      </w:r>
      <w:r w:rsidR="00BB3095">
        <w:rPr>
          <w:rFonts w:ascii="Century Gothic" w:eastAsia="Times New Roman" w:hAnsi="Century Gothic" w:cs="Tahoma"/>
        </w:rPr>
        <w:t xml:space="preserve"> na tenis, plážový volejbal </w:t>
      </w:r>
      <w:r w:rsidR="00A22228">
        <w:rPr>
          <w:rFonts w:ascii="Century Gothic" w:eastAsia="Times New Roman" w:hAnsi="Century Gothic" w:cs="Tahoma"/>
        </w:rPr>
        <w:t>a</w:t>
      </w:r>
      <w:r w:rsidR="00BB3095">
        <w:rPr>
          <w:rFonts w:ascii="Century Gothic" w:eastAsia="Times New Roman" w:hAnsi="Century Gothic" w:cs="Tahoma"/>
        </w:rPr>
        <w:t xml:space="preserve"> minigolf. </w:t>
      </w:r>
      <w:r w:rsidR="007E08EF">
        <w:rPr>
          <w:rFonts w:ascii="Century Gothic" w:eastAsia="Times New Roman" w:hAnsi="Century Gothic" w:cs="Tahoma"/>
        </w:rPr>
        <w:t>Za nákupy a </w:t>
      </w:r>
      <w:r w:rsidR="00C57C5D">
        <w:rPr>
          <w:rFonts w:ascii="Century Gothic" w:eastAsia="Times New Roman" w:hAnsi="Century Gothic" w:cs="Tahoma"/>
        </w:rPr>
        <w:t>zábavou lze vyrazit</w:t>
      </w:r>
      <w:r w:rsidR="007E08EF">
        <w:rPr>
          <w:rFonts w:ascii="Century Gothic" w:eastAsia="Times New Roman" w:hAnsi="Century Gothic" w:cs="Tahoma"/>
        </w:rPr>
        <w:t xml:space="preserve"> </w:t>
      </w:r>
      <w:r w:rsidR="00C57C5D">
        <w:rPr>
          <w:rFonts w:ascii="Century Gothic" w:eastAsia="Times New Roman" w:hAnsi="Century Gothic" w:cs="Tahoma"/>
        </w:rPr>
        <w:t xml:space="preserve">do obchodní zóny Čestlice. </w:t>
      </w:r>
      <w:r w:rsidR="00D541BF">
        <w:rPr>
          <w:rFonts w:ascii="Century Gothic" w:eastAsia="Times New Roman" w:hAnsi="Century Gothic" w:cs="Tahoma"/>
        </w:rPr>
        <w:t xml:space="preserve"> </w:t>
      </w:r>
    </w:p>
    <w:p w14:paraId="04E78559" w14:textId="77777777" w:rsidR="00997A6E" w:rsidRDefault="00997A6E" w:rsidP="00997A6E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40F35A95" w14:textId="77777777" w:rsidR="00997A6E" w:rsidRDefault="00997A6E" w:rsidP="00997A6E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52E6E942" w14:textId="77777777" w:rsidR="00997A6E" w:rsidRDefault="00997A6E" w:rsidP="00997A6E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7F8F6EBA" w14:textId="77777777" w:rsidR="00997A6E" w:rsidRDefault="00997A6E" w:rsidP="00997A6E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3C97C909" w14:textId="77777777" w:rsidR="00997A6E" w:rsidRDefault="00997A6E" w:rsidP="00997A6E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0F2452B0" w14:textId="33134269" w:rsidR="00AC34CD" w:rsidRPr="00932277" w:rsidRDefault="00AC34CD" w:rsidP="00997A6E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t>O Lexxus Norton</w:t>
      </w:r>
    </w:p>
    <w:p w14:paraId="7F84E02F" w14:textId="77777777" w:rsidR="00AC34CD" w:rsidRDefault="00AC34CD" w:rsidP="00AC34CD">
      <w:pPr>
        <w:spacing w:line="276" w:lineRule="auto"/>
        <w:ind w:left="-567" w:right="-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Značka Lexxus Norton patří do skupiny LEXXUS Group a specializuje se pouze na luxusní nemovitosti k prodeji i k pronájmu v nejžádanějších lokalitách Prahy a blízkého okolí. </w:t>
      </w:r>
    </w:p>
    <w:p w14:paraId="0BC76AC4" w14:textId="77777777" w:rsidR="00AC34CD" w:rsidRDefault="00AC34CD" w:rsidP="00AC34CD">
      <w:pPr>
        <w:spacing w:line="276" w:lineRule="auto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</w:rPr>
        <w:t xml:space="preserve">Realitní agenti Lexxus Norton kladou maximální důraz na nejlepší servis jak pro developery, tak pro konečné uživatele. Služby LEXXUS Norton jsou postavené na individuálním přístupu ke každému zákazníkovi vždy s přihlédnutím k jeho požadavkům. Při realizaci nabízí maximální podporu a zkušenosti čerpající z historie mateřské realitní společnosti LEXXUS, která působí na pražském realitním trhu již od 90. let. </w:t>
      </w:r>
    </w:p>
    <w:p w14:paraId="1128D60C" w14:textId="7C579BF2" w:rsidR="00AC34CD" w:rsidRPr="00AC34CD" w:rsidRDefault="00AC34CD" w:rsidP="00AC34CD">
      <w:pPr>
        <w:spacing w:line="276" w:lineRule="auto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t>Kontakt</w:t>
      </w:r>
    </w:p>
    <w:p w14:paraId="66A842C7" w14:textId="77777777" w:rsidR="00AC34CD" w:rsidRDefault="00AC34CD" w:rsidP="00AC34CD">
      <w:pPr>
        <w:pStyle w:val="Bezmezer"/>
        <w:ind w:left="-567" w:right="-709"/>
        <w:rPr>
          <w:rFonts w:ascii="Century Gothic" w:hAnsi="Century Gothic" w:cs="Tahoma"/>
          <w:bCs/>
        </w:rPr>
      </w:pPr>
      <w:r>
        <w:rPr>
          <w:rFonts w:ascii="Century Gothic" w:hAnsi="Century Gothic" w:cs="Tahoma"/>
        </w:rPr>
        <w:t xml:space="preserve">Email: </w:t>
      </w:r>
      <w:hyperlink r:id="rId9" w:history="1">
        <w:r>
          <w:rPr>
            <w:rStyle w:val="Hypertextovodkaz"/>
            <w:rFonts w:ascii="Century Gothic" w:hAnsi="Century Gothic"/>
          </w:rPr>
          <w:t>pr@lexxusnorton.cz</w:t>
        </w:r>
      </w:hyperlink>
    </w:p>
    <w:p w14:paraId="6016C3E0" w14:textId="77777777" w:rsidR="00AC34CD" w:rsidRDefault="00AC34CD" w:rsidP="00AC34CD">
      <w:pPr>
        <w:pStyle w:val="Bezmezer"/>
        <w:ind w:left="-567" w:right="-709"/>
        <w:rPr>
          <w:rFonts w:ascii="Century Gothic" w:hAnsi="Century Gothic" w:cs="Century Gothic"/>
        </w:rPr>
      </w:pPr>
      <w:r>
        <w:rPr>
          <w:rFonts w:ascii="Century Gothic" w:hAnsi="Century Gothic" w:cs="Tahoma"/>
          <w:bCs/>
        </w:rPr>
        <w:t xml:space="preserve">Telefon: </w:t>
      </w:r>
      <w:r>
        <w:rPr>
          <w:rFonts w:ascii="Century Gothic" w:hAnsi="Century Gothic" w:cs="Century Gothic"/>
        </w:rPr>
        <w:t xml:space="preserve">+420 221 111 900 </w:t>
      </w:r>
    </w:p>
    <w:p w14:paraId="646564AE" w14:textId="77777777" w:rsidR="00AC34CD" w:rsidRDefault="0065364D" w:rsidP="00AC34CD">
      <w:pPr>
        <w:pStyle w:val="Bezmezer"/>
        <w:ind w:left="-567" w:right="-709"/>
        <w:rPr>
          <w:rStyle w:val="Hypertextovodkaz"/>
          <w:rFonts w:ascii="Century Gothic" w:hAnsi="Century Gothic"/>
          <w:color w:val="887634"/>
        </w:rPr>
      </w:pPr>
      <w:hyperlink r:id="rId10" w:history="1">
        <w:r w:rsidR="00AC34CD">
          <w:rPr>
            <w:rStyle w:val="Hypertextovodkaz"/>
            <w:rFonts w:ascii="Century Gothic" w:hAnsi="Century Gothic"/>
          </w:rPr>
          <w:t>www.lexxusnorton.cz</w:t>
        </w:r>
      </w:hyperlink>
    </w:p>
    <w:p w14:paraId="6E25573F" w14:textId="77777777" w:rsidR="00CA5219" w:rsidRDefault="00CA5219" w:rsidP="007F2F5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07A8146A" w14:textId="77777777" w:rsidR="0065364D" w:rsidRPr="00F7588D" w:rsidRDefault="0065364D" w:rsidP="0065364D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 w:cs="Tahoma"/>
          <w:b/>
          <w:color w:val="002060"/>
        </w:rPr>
        <w:t xml:space="preserve">PR agentura </w:t>
      </w:r>
      <w:proofErr w:type="spellStart"/>
      <w:r w:rsidRPr="00F7588D">
        <w:rPr>
          <w:rFonts w:ascii="Century Gothic" w:hAnsi="Century Gothic" w:cs="Tahoma"/>
          <w:b/>
          <w:color w:val="002060"/>
        </w:rPr>
        <w:t>Crest</w:t>
      </w:r>
      <w:proofErr w:type="spellEnd"/>
      <w:r w:rsidRPr="00F7588D">
        <w:rPr>
          <w:rFonts w:ascii="Century Gothic" w:hAnsi="Century Gothic" w:cs="Tahoma"/>
          <w:b/>
          <w:color w:val="002060"/>
        </w:rPr>
        <w:t xml:space="preserve"> Communications</w:t>
      </w:r>
    </w:p>
    <w:p w14:paraId="5623DEC7" w14:textId="77777777" w:rsidR="0065364D" w:rsidRPr="00F7588D" w:rsidRDefault="0065364D" w:rsidP="0065364D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392661F1" w14:textId="77777777" w:rsidR="0065364D" w:rsidRPr="00F7588D" w:rsidRDefault="0065364D" w:rsidP="0065364D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  <w:b/>
        </w:rPr>
        <w:t>Marcela Kukaňová</w:t>
      </w:r>
    </w:p>
    <w:p w14:paraId="108838BD" w14:textId="77777777" w:rsidR="0065364D" w:rsidRPr="00F7588D" w:rsidRDefault="0065364D" w:rsidP="0065364D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Email: </w:t>
      </w:r>
      <w:hyperlink r:id="rId11" w:history="1">
        <w:r w:rsidRPr="00F7588D"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54F56A80" w14:textId="77777777" w:rsidR="0065364D" w:rsidRPr="00F7588D" w:rsidRDefault="0065364D" w:rsidP="0065364D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Telefon: </w:t>
      </w:r>
      <w:r w:rsidRPr="00F7588D">
        <w:rPr>
          <w:rFonts w:ascii="Century Gothic" w:hAnsi="Century Gothic" w:cs="Arial"/>
        </w:rPr>
        <w:t>+420 731 613 618</w:t>
      </w:r>
    </w:p>
    <w:p w14:paraId="6603810C" w14:textId="77777777" w:rsidR="0065364D" w:rsidRPr="00F7588D" w:rsidRDefault="0065364D" w:rsidP="0065364D">
      <w:pPr>
        <w:pStyle w:val="Bezmezer"/>
        <w:ind w:left="-567" w:right="-709"/>
        <w:rPr>
          <w:rFonts w:ascii="Century Gothic" w:hAnsi="Century Gothic"/>
          <w:b/>
        </w:rPr>
      </w:pPr>
    </w:p>
    <w:p w14:paraId="2F7A8D51" w14:textId="77777777" w:rsidR="0065364D" w:rsidRPr="00F7588D" w:rsidRDefault="0065364D" w:rsidP="0065364D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  <w:b/>
        </w:rPr>
        <w:t>Marie Cimplová</w:t>
      </w:r>
    </w:p>
    <w:p w14:paraId="0B8C1BBE" w14:textId="77777777" w:rsidR="0065364D" w:rsidRPr="00F7588D" w:rsidRDefault="0065364D" w:rsidP="0065364D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Email: </w:t>
      </w:r>
      <w:hyperlink r:id="rId12" w:history="1">
        <w:r w:rsidRPr="00F7588D">
          <w:rPr>
            <w:rStyle w:val="Hypertextovodkaz"/>
            <w:rFonts w:ascii="Century Gothic" w:hAnsi="Century Gothic" w:cs="Arial"/>
          </w:rPr>
          <w:t>marie.cimplova</w:t>
        </w:r>
        <w:r w:rsidRPr="00F7588D">
          <w:rPr>
            <w:rStyle w:val="Hypertextovodkaz"/>
            <w:rFonts w:ascii="Century Gothic" w:hAnsi="Century Gothic" w:cs="Arial"/>
            <w:lang w:val="en-US"/>
          </w:rPr>
          <w:t>@</w:t>
        </w:r>
        <w:r w:rsidRPr="00F7588D">
          <w:rPr>
            <w:rStyle w:val="Hypertextovodkaz"/>
            <w:rFonts w:ascii="Century Gothic" w:hAnsi="Century Gothic" w:cs="Arial"/>
          </w:rPr>
          <w:t>crestcom.cz</w:t>
        </w:r>
      </w:hyperlink>
    </w:p>
    <w:p w14:paraId="19110E29" w14:textId="77777777" w:rsidR="0065364D" w:rsidRPr="00F7588D" w:rsidRDefault="0065364D" w:rsidP="0065364D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Telefon: </w:t>
      </w:r>
      <w:r w:rsidRPr="00F7588D">
        <w:rPr>
          <w:rFonts w:ascii="Century Gothic" w:hAnsi="Century Gothic" w:cs="Arial"/>
        </w:rPr>
        <w:t>+420 222 927 128, 731 613 602</w:t>
      </w:r>
    </w:p>
    <w:p w14:paraId="3E58EEF8" w14:textId="77777777" w:rsidR="0065364D" w:rsidRPr="00F7588D" w:rsidRDefault="0065364D" w:rsidP="0065364D">
      <w:pPr>
        <w:pStyle w:val="Bezmezer"/>
        <w:ind w:left="-567" w:right="-709"/>
        <w:rPr>
          <w:rFonts w:ascii="Century Gothic" w:hAnsi="Century Gothic" w:cs="Tahoma"/>
        </w:rPr>
      </w:pPr>
    </w:p>
    <w:p w14:paraId="74D48325" w14:textId="77777777" w:rsidR="0065364D" w:rsidRPr="007F2F5E" w:rsidRDefault="0065364D" w:rsidP="0065364D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 w:cs="Tahoma"/>
        </w:rPr>
        <w:t xml:space="preserve">Tiskové středisko: </w:t>
      </w:r>
      <w:hyperlink r:id="rId13" w:history="1">
        <w:r w:rsidRPr="00F7588D"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05C8E93A" w14:textId="77777777" w:rsidR="0065364D" w:rsidRDefault="0065364D" w:rsidP="007F2F5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7D512DF3" w14:textId="77777777" w:rsidR="00A81A88" w:rsidRDefault="00A81A88" w:rsidP="00A81A88">
      <w:pPr>
        <w:pStyle w:val="Bezmezer"/>
        <w:ind w:left="-567" w:right="-709"/>
        <w:rPr>
          <w:color w:val="887634"/>
        </w:rPr>
      </w:pPr>
    </w:p>
    <w:p w14:paraId="715A778B" w14:textId="77777777" w:rsidR="00A81A88" w:rsidRPr="007F2F5E" w:rsidRDefault="00A81A88" w:rsidP="007F2F5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bookmarkStart w:id="0" w:name="_GoBack"/>
      <w:bookmarkEnd w:id="0"/>
    </w:p>
    <w:sectPr w:rsidR="00A81A88" w:rsidRPr="007F2F5E" w:rsidSect="0072141F">
      <w:headerReference w:type="default" r:id="rId14"/>
      <w:footerReference w:type="default" r:id="rId15"/>
      <w:pgSz w:w="11906" w:h="16838"/>
      <w:pgMar w:top="198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19FE9" w14:textId="77777777" w:rsidR="00C233F3" w:rsidRDefault="00C233F3" w:rsidP="002E72DB">
      <w:pPr>
        <w:spacing w:after="0" w:line="240" w:lineRule="auto"/>
      </w:pPr>
      <w:r>
        <w:separator/>
      </w:r>
    </w:p>
  </w:endnote>
  <w:endnote w:type="continuationSeparator" w:id="0">
    <w:p w14:paraId="3611C7B4" w14:textId="77777777" w:rsidR="00C233F3" w:rsidRDefault="00C233F3" w:rsidP="002E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0FD05" w14:textId="77777777" w:rsidR="002E72DB" w:rsidRDefault="002E72D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5085944" wp14:editId="3C556A55">
          <wp:simplePos x="0" y="0"/>
          <wp:positionH relativeFrom="page">
            <wp:posOffset>416859</wp:posOffset>
          </wp:positionH>
          <wp:positionV relativeFrom="page">
            <wp:posOffset>7315200</wp:posOffset>
          </wp:positionV>
          <wp:extent cx="6713855" cy="2929890"/>
          <wp:effectExtent l="0" t="0" r="0" b="381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ckovy_papir_zap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855" cy="292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7B88E" w14:textId="77777777" w:rsidR="00C233F3" w:rsidRDefault="00C233F3" w:rsidP="002E72DB">
      <w:pPr>
        <w:spacing w:after="0" w:line="240" w:lineRule="auto"/>
      </w:pPr>
      <w:r>
        <w:separator/>
      </w:r>
    </w:p>
  </w:footnote>
  <w:footnote w:type="continuationSeparator" w:id="0">
    <w:p w14:paraId="194B73DE" w14:textId="77777777" w:rsidR="00C233F3" w:rsidRDefault="00C233F3" w:rsidP="002E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8582B" w14:textId="77777777" w:rsidR="002E72DB" w:rsidRDefault="002E7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6045C" wp14:editId="30F2287F">
          <wp:simplePos x="0" y="0"/>
          <wp:positionH relativeFrom="page">
            <wp:align>center</wp:align>
          </wp:positionH>
          <wp:positionV relativeFrom="page">
            <wp:posOffset>442595</wp:posOffset>
          </wp:positionV>
          <wp:extent cx="6714000" cy="612000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_papir_zahl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4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54CE"/>
    <w:multiLevelType w:val="multilevel"/>
    <w:tmpl w:val="6286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63EC5"/>
    <w:multiLevelType w:val="multilevel"/>
    <w:tmpl w:val="8026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53B95"/>
    <w:multiLevelType w:val="multilevel"/>
    <w:tmpl w:val="00B0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15BDB"/>
    <w:multiLevelType w:val="multilevel"/>
    <w:tmpl w:val="6B64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93276"/>
    <w:multiLevelType w:val="multilevel"/>
    <w:tmpl w:val="155A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DB"/>
    <w:rsid w:val="00006F47"/>
    <w:rsid w:val="00015CB6"/>
    <w:rsid w:val="00022AB3"/>
    <w:rsid w:val="00082C9F"/>
    <w:rsid w:val="00091CF9"/>
    <w:rsid w:val="000A6587"/>
    <w:rsid w:val="000B4A42"/>
    <w:rsid w:val="000D7D3F"/>
    <w:rsid w:val="000D7EB8"/>
    <w:rsid w:val="000E59C5"/>
    <w:rsid w:val="000F5BFF"/>
    <w:rsid w:val="00103D6A"/>
    <w:rsid w:val="00105C1A"/>
    <w:rsid w:val="001077C5"/>
    <w:rsid w:val="00126132"/>
    <w:rsid w:val="001369DE"/>
    <w:rsid w:val="001430AF"/>
    <w:rsid w:val="00145EB1"/>
    <w:rsid w:val="00167853"/>
    <w:rsid w:val="00180C53"/>
    <w:rsid w:val="00191268"/>
    <w:rsid w:val="001A01C0"/>
    <w:rsid w:val="001A5A23"/>
    <w:rsid w:val="001B2E4D"/>
    <w:rsid w:val="001B3509"/>
    <w:rsid w:val="001D0C45"/>
    <w:rsid w:val="001E15E1"/>
    <w:rsid w:val="00242084"/>
    <w:rsid w:val="00244457"/>
    <w:rsid w:val="00247F05"/>
    <w:rsid w:val="0025041F"/>
    <w:rsid w:val="0025178B"/>
    <w:rsid w:val="002712C0"/>
    <w:rsid w:val="002866E5"/>
    <w:rsid w:val="00297E0D"/>
    <w:rsid w:val="002C6203"/>
    <w:rsid w:val="002D3982"/>
    <w:rsid w:val="002D5C20"/>
    <w:rsid w:val="002E36EF"/>
    <w:rsid w:val="002E72DB"/>
    <w:rsid w:val="002F0525"/>
    <w:rsid w:val="002F7785"/>
    <w:rsid w:val="003066E6"/>
    <w:rsid w:val="00312369"/>
    <w:rsid w:val="00323224"/>
    <w:rsid w:val="0032783C"/>
    <w:rsid w:val="0033006C"/>
    <w:rsid w:val="00332DDF"/>
    <w:rsid w:val="00336446"/>
    <w:rsid w:val="003367AE"/>
    <w:rsid w:val="00341818"/>
    <w:rsid w:val="0038459B"/>
    <w:rsid w:val="00385554"/>
    <w:rsid w:val="003A04A4"/>
    <w:rsid w:val="003F1AEC"/>
    <w:rsid w:val="003F7F8C"/>
    <w:rsid w:val="00424C9C"/>
    <w:rsid w:val="004331B9"/>
    <w:rsid w:val="004377E5"/>
    <w:rsid w:val="004453B3"/>
    <w:rsid w:val="00447D36"/>
    <w:rsid w:val="00460E1C"/>
    <w:rsid w:val="0046424A"/>
    <w:rsid w:val="0047195A"/>
    <w:rsid w:val="00490524"/>
    <w:rsid w:val="004A305A"/>
    <w:rsid w:val="004A6E3A"/>
    <w:rsid w:val="004C37A4"/>
    <w:rsid w:val="004D08B2"/>
    <w:rsid w:val="004D5ADF"/>
    <w:rsid w:val="004E52F3"/>
    <w:rsid w:val="004E69B8"/>
    <w:rsid w:val="004E7019"/>
    <w:rsid w:val="004F1ADE"/>
    <w:rsid w:val="0050329B"/>
    <w:rsid w:val="00506567"/>
    <w:rsid w:val="00513C23"/>
    <w:rsid w:val="005171B0"/>
    <w:rsid w:val="00517ECC"/>
    <w:rsid w:val="00557BA2"/>
    <w:rsid w:val="0056371C"/>
    <w:rsid w:val="00582F38"/>
    <w:rsid w:val="005955DE"/>
    <w:rsid w:val="005C39D2"/>
    <w:rsid w:val="005C3C3D"/>
    <w:rsid w:val="005D0FA8"/>
    <w:rsid w:val="005E11B4"/>
    <w:rsid w:val="005E1D93"/>
    <w:rsid w:val="005F124B"/>
    <w:rsid w:val="005F3558"/>
    <w:rsid w:val="005F38AA"/>
    <w:rsid w:val="006169A4"/>
    <w:rsid w:val="006206A4"/>
    <w:rsid w:val="00625B25"/>
    <w:rsid w:val="006411FB"/>
    <w:rsid w:val="0064295C"/>
    <w:rsid w:val="00653590"/>
    <w:rsid w:val="0065364D"/>
    <w:rsid w:val="00664445"/>
    <w:rsid w:val="00667424"/>
    <w:rsid w:val="00672A55"/>
    <w:rsid w:val="0067793A"/>
    <w:rsid w:val="00681FC6"/>
    <w:rsid w:val="00685781"/>
    <w:rsid w:val="006867BE"/>
    <w:rsid w:val="00692D7E"/>
    <w:rsid w:val="006A1776"/>
    <w:rsid w:val="006C2C44"/>
    <w:rsid w:val="006C4E6A"/>
    <w:rsid w:val="006D42B0"/>
    <w:rsid w:val="006F10F0"/>
    <w:rsid w:val="0070368A"/>
    <w:rsid w:val="00710624"/>
    <w:rsid w:val="0072141F"/>
    <w:rsid w:val="00725ADB"/>
    <w:rsid w:val="00743A37"/>
    <w:rsid w:val="00761EB3"/>
    <w:rsid w:val="00765B0F"/>
    <w:rsid w:val="00772443"/>
    <w:rsid w:val="0077737D"/>
    <w:rsid w:val="00777E5E"/>
    <w:rsid w:val="00790F26"/>
    <w:rsid w:val="00795751"/>
    <w:rsid w:val="00795D4D"/>
    <w:rsid w:val="007A0870"/>
    <w:rsid w:val="007A507D"/>
    <w:rsid w:val="007B26EC"/>
    <w:rsid w:val="007D2D22"/>
    <w:rsid w:val="007D346C"/>
    <w:rsid w:val="007E08EF"/>
    <w:rsid w:val="007F092C"/>
    <w:rsid w:val="007F2F5E"/>
    <w:rsid w:val="00804593"/>
    <w:rsid w:val="00841407"/>
    <w:rsid w:val="008415B3"/>
    <w:rsid w:val="00850CE3"/>
    <w:rsid w:val="00851E06"/>
    <w:rsid w:val="00862FED"/>
    <w:rsid w:val="00881EF6"/>
    <w:rsid w:val="008853EB"/>
    <w:rsid w:val="008941B2"/>
    <w:rsid w:val="008A1977"/>
    <w:rsid w:val="008B08A6"/>
    <w:rsid w:val="008C07A4"/>
    <w:rsid w:val="008C3662"/>
    <w:rsid w:val="008D447F"/>
    <w:rsid w:val="008F4F9F"/>
    <w:rsid w:val="008F5F16"/>
    <w:rsid w:val="00930EDE"/>
    <w:rsid w:val="00932277"/>
    <w:rsid w:val="009461AE"/>
    <w:rsid w:val="00953032"/>
    <w:rsid w:val="00956770"/>
    <w:rsid w:val="0098238E"/>
    <w:rsid w:val="0099430E"/>
    <w:rsid w:val="00997A6E"/>
    <w:rsid w:val="009B6185"/>
    <w:rsid w:val="009B68A4"/>
    <w:rsid w:val="009D1FCA"/>
    <w:rsid w:val="009D743F"/>
    <w:rsid w:val="009E0418"/>
    <w:rsid w:val="009E6289"/>
    <w:rsid w:val="009F3692"/>
    <w:rsid w:val="00A01882"/>
    <w:rsid w:val="00A15CBD"/>
    <w:rsid w:val="00A1632F"/>
    <w:rsid w:val="00A22228"/>
    <w:rsid w:val="00A55CE2"/>
    <w:rsid w:val="00A67C42"/>
    <w:rsid w:val="00A81A88"/>
    <w:rsid w:val="00A902A5"/>
    <w:rsid w:val="00A9098A"/>
    <w:rsid w:val="00A96538"/>
    <w:rsid w:val="00AA56CE"/>
    <w:rsid w:val="00AB46F9"/>
    <w:rsid w:val="00AB6695"/>
    <w:rsid w:val="00AC01A8"/>
    <w:rsid w:val="00AC34CD"/>
    <w:rsid w:val="00AC4D97"/>
    <w:rsid w:val="00AC794C"/>
    <w:rsid w:val="00AD2E44"/>
    <w:rsid w:val="00AE4C57"/>
    <w:rsid w:val="00AF3481"/>
    <w:rsid w:val="00B12606"/>
    <w:rsid w:val="00B2386C"/>
    <w:rsid w:val="00B23BD2"/>
    <w:rsid w:val="00B32B43"/>
    <w:rsid w:val="00B42C0B"/>
    <w:rsid w:val="00B4436D"/>
    <w:rsid w:val="00B444BC"/>
    <w:rsid w:val="00B46D6A"/>
    <w:rsid w:val="00B6129C"/>
    <w:rsid w:val="00B617F1"/>
    <w:rsid w:val="00BA5F58"/>
    <w:rsid w:val="00BB3095"/>
    <w:rsid w:val="00BC0068"/>
    <w:rsid w:val="00BE22EC"/>
    <w:rsid w:val="00BE46E6"/>
    <w:rsid w:val="00BF71B0"/>
    <w:rsid w:val="00C1309B"/>
    <w:rsid w:val="00C233F3"/>
    <w:rsid w:val="00C27B54"/>
    <w:rsid w:val="00C30FE9"/>
    <w:rsid w:val="00C54641"/>
    <w:rsid w:val="00C56FEC"/>
    <w:rsid w:val="00C57C5D"/>
    <w:rsid w:val="00C57E8F"/>
    <w:rsid w:val="00CA5219"/>
    <w:rsid w:val="00CC0EE7"/>
    <w:rsid w:val="00CC100C"/>
    <w:rsid w:val="00CC2647"/>
    <w:rsid w:val="00CE3932"/>
    <w:rsid w:val="00D04CC2"/>
    <w:rsid w:val="00D04F48"/>
    <w:rsid w:val="00D12A7F"/>
    <w:rsid w:val="00D13F2F"/>
    <w:rsid w:val="00D27F7E"/>
    <w:rsid w:val="00D44A1B"/>
    <w:rsid w:val="00D5059D"/>
    <w:rsid w:val="00D541BF"/>
    <w:rsid w:val="00D6046A"/>
    <w:rsid w:val="00D85E32"/>
    <w:rsid w:val="00D8730C"/>
    <w:rsid w:val="00D90EE2"/>
    <w:rsid w:val="00D95155"/>
    <w:rsid w:val="00DA5061"/>
    <w:rsid w:val="00DA656B"/>
    <w:rsid w:val="00DB69AE"/>
    <w:rsid w:val="00DB727E"/>
    <w:rsid w:val="00DD0CE1"/>
    <w:rsid w:val="00DD2B67"/>
    <w:rsid w:val="00DF476A"/>
    <w:rsid w:val="00E00C88"/>
    <w:rsid w:val="00E02492"/>
    <w:rsid w:val="00E02579"/>
    <w:rsid w:val="00E3185D"/>
    <w:rsid w:val="00E34D5D"/>
    <w:rsid w:val="00E36865"/>
    <w:rsid w:val="00E436B1"/>
    <w:rsid w:val="00E4754F"/>
    <w:rsid w:val="00E5073D"/>
    <w:rsid w:val="00E65363"/>
    <w:rsid w:val="00E86AF3"/>
    <w:rsid w:val="00EA190C"/>
    <w:rsid w:val="00EA3488"/>
    <w:rsid w:val="00EB1FA6"/>
    <w:rsid w:val="00EB504D"/>
    <w:rsid w:val="00EC20B7"/>
    <w:rsid w:val="00EC2369"/>
    <w:rsid w:val="00EC34D7"/>
    <w:rsid w:val="00EC4B5C"/>
    <w:rsid w:val="00ED4C7B"/>
    <w:rsid w:val="00ED56F6"/>
    <w:rsid w:val="00EE6AC9"/>
    <w:rsid w:val="00EF0C33"/>
    <w:rsid w:val="00EF23A8"/>
    <w:rsid w:val="00EF339F"/>
    <w:rsid w:val="00EF5AD4"/>
    <w:rsid w:val="00EF5C74"/>
    <w:rsid w:val="00F12547"/>
    <w:rsid w:val="00F35453"/>
    <w:rsid w:val="00F43ADD"/>
    <w:rsid w:val="00F545FA"/>
    <w:rsid w:val="00F6413F"/>
    <w:rsid w:val="00F64879"/>
    <w:rsid w:val="00F6564A"/>
    <w:rsid w:val="00F6587D"/>
    <w:rsid w:val="00F87C73"/>
    <w:rsid w:val="00FA56B7"/>
    <w:rsid w:val="00FA5A62"/>
    <w:rsid w:val="00FC15E7"/>
    <w:rsid w:val="00FC3BBE"/>
    <w:rsid w:val="00FE4851"/>
    <w:rsid w:val="00FE6A6B"/>
    <w:rsid w:val="00FE78E3"/>
    <w:rsid w:val="00FF11E2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B6C044"/>
  <w15:docId w15:val="{C37B3C37-A8DE-4998-A59E-966C776C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0FA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2DB"/>
  </w:style>
  <w:style w:type="paragraph" w:styleId="Zpat">
    <w:name w:val="footer"/>
    <w:basedOn w:val="Normln"/>
    <w:link w:val="Zpat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2DB"/>
  </w:style>
  <w:style w:type="paragraph" w:styleId="Textbubliny">
    <w:name w:val="Balloon Text"/>
    <w:basedOn w:val="Normln"/>
    <w:link w:val="TextbublinyChar"/>
    <w:uiPriority w:val="99"/>
    <w:semiHidden/>
    <w:unhideWhenUsed/>
    <w:rsid w:val="0024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08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rsid w:val="00191268"/>
    <w:rPr>
      <w:rFonts w:cs="Times New Roman"/>
      <w:color w:val="0000FF"/>
      <w:u w:val="single"/>
    </w:rPr>
  </w:style>
  <w:style w:type="paragraph" w:styleId="Bezmezer">
    <w:name w:val="No Spacing"/>
    <w:qFormat/>
    <w:rsid w:val="0019126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E1D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D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D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D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D93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27B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7B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5D0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F8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56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restco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rie.cimplova@crestcom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rka.vondrackova@crestcom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lexxusnorto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@lexxusnorton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Luděk Smetana</dc:creator>
  <cp:lastModifiedBy>Marie Cimplová</cp:lastModifiedBy>
  <cp:revision>5</cp:revision>
  <cp:lastPrinted>2017-01-19T12:21:00Z</cp:lastPrinted>
  <dcterms:created xsi:type="dcterms:W3CDTF">2017-01-23T16:01:00Z</dcterms:created>
  <dcterms:modified xsi:type="dcterms:W3CDTF">2017-01-24T08:44:00Z</dcterms:modified>
</cp:coreProperties>
</file>